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3: 90-Day AI Action Plan Finalization</w:t>
      </w:r>
    </w:p>
    <w:p>
      <w:pPr>
        <w:spacing w:after="40"/>
      </w:pPr>
      <w:r>
        <w:rPr>
          <w:b/>
          <w:bCs/>
          <w:color w:val="0E7490"/>
          <w:sz w:val="26"/>
          <w:szCs w:val="26"/>
        </w:rPr>
        <w:t xml:space="preserve">90-Day AI Action Plan Canvas | Right Half (Blocks 7 to 12)</w:t>
      </w:r>
    </w:p>
    <w:p>
      <w:pPr>
        <w:pBdr>
          <w:bottom w:val="single" w:color="0E7490" w:sz="6" w:space="8"/>
        </w:pBdr>
        <w:spacing w:after="200"/>
      </w:pPr>
      <w:r>
        <w:rPr>
          <w:b/>
          <w:bCs/>
          <w:sz w:val="24"/>
          <w:szCs w:val="24"/>
        </w:rPr>
        <w:t xml:space="preserve">Track A: AI for Student Experience and Career Readiness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Tuesday, June 23, 10:00 to 11:00 AM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Alex Sevilla, Sharon Lydon, Sandeep Krishnamurthy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First five minutes: revise Blocks 1 to 6 with what the night taught you, then lock the frontier. From there, scope only narrows. Two of this morning's inputs were saved for this session: your WS1 stuck point and its tension become barrier number one in Block 9, and your WS1 divergence (where the two of you rated the institution furthest apart) seeds Block 10.</w:t>
      </w:r>
    </w:p>
    <w:p>
      <w:pPr>
        <w:spacing w:after="120"/>
      </w:pPr>
      <w:r>
        <w:t xml:space="preserve">Today's standard is names and dates. By 11:00 you will have a complete canvas, Week 1 actions each of you owns by name and date, 30/60/90 milestones, and a commitment you can say from memory in under 30 seconds at the closing session.</w:t>
      </w:r>
    </w:p>
    <w:p>
      <w:pPr>
        <w:pStyle w:val="Heading1"/>
        <w:pageBreakBefore/>
      </w:pPr>
      <w:r>
        <w:t xml:space="preserve">Block 7: Coalition</w:t>
      </w:r>
    </w:p>
    <w:p>
      <w:pPr>
        <w:spacing w:after="100"/>
      </w:pPr>
      <w:r>
        <w:rPr>
          <w:b/>
          <w:bCs/>
        </w:rPr>
        <w:t xml:space="preserve">What it asks: </w:t>
      </w:r>
      <w:r>
        <w:t xml:space="preserve">The people and bodies this plan needs: stakeholders to engage, partners to enlist, and governance approvals required, with dates.</w:t>
      </w:r>
    </w:p>
    <w:p>
      <w:pPr>
        <w:spacing w:after="100"/>
      </w:pPr>
      <w:r>
        <w:rPr>
          <w:b/>
          <w:bCs/>
        </w:rPr>
        <w:t xml:space="preserve">Prompts: </w:t>
      </w:r>
      <w:r>
        <w:t xml:space="preserve">Who can stop this, and have we talked to them? Who must say yes formally, and when do they meet within our 90 days? Who from this convening (peers, technology partners, industry voices) is part of our coalition now? What did the answer to our community question change?</w:t>
      </w:r>
    </w:p>
    <w:p>
      <w:pPr>
        <w:spacing w:after="120"/>
      </w:pPr>
      <w:r>
        <w:t xml:space="preserve">Track A: student-facing plans cross silos by definition: academic affairs, advising, career services, student affairs, IT. Name the cross-silo owner. Include at least one student voice in the coalition, with a real role. If employers are part of the change, name which ones and who holds the relationship.</w:t>
      </w:r>
    </w:p>
    <w:p>
      <w:pPr>
        <w:spacing w:after="100"/>
      </w:pPr>
      <w:r>
        <w:rPr>
          <w:b/>
          <w:bCs/>
        </w:rPr>
        <w:t xml:space="preserve">Quality bar: </w:t>
      </w:r>
      <w:r>
        <w:t xml:space="preserve">Names and dates, not categories. If Governance and Risk rated 1 or 2 in your diagnostic, this block must include the step that creates clarity, not assume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8: Resources and Capacity</w:t>
      </w:r>
    </w:p>
    <w:p>
      <w:pPr>
        <w:spacing w:after="100"/>
      </w:pPr>
      <w:r>
        <w:rPr>
          <w:b/>
          <w:bCs/>
        </w:rPr>
        <w:t xml:space="preserve">What it asks: </w:t>
      </w:r>
      <w:r>
        <w:t xml:space="preserve">What this costs in people, time, money, and tools, and where each comes from.</w:t>
      </w:r>
    </w:p>
    <w:p>
      <w:pPr>
        <w:spacing w:after="100"/>
      </w:pPr>
      <w:r>
        <w:rPr>
          <w:b/>
          <w:bCs/>
        </w:rPr>
        <w:t xml:space="preserve">Prompts: </w:t>
      </w:r>
      <w:r>
        <w:t xml:space="preserve">Whose hours, specifically, and what are those people stopping in order to do this? What budget line, and is it committed or hoped for? What tools or infrastructure does this require, and do we have access today, or is procurement inside the critical path? If your diagnostic rated Implementation Capacity at 2, what does this plan do about that, rather than despite it?</w:t>
      </w:r>
    </w:p>
    <w:p>
      <w:pPr>
        <w:spacing w:after="100"/>
      </w:pPr>
      <w:r>
        <w:rPr>
          <w:b/>
          <w:bCs/>
        </w:rPr>
        <w:t xml:space="preserve">Quality bar: </w:t>
      </w:r>
      <w:r>
        <w:t xml:space="preserve">Sourced, not listed. Every resource names its origin. If the conditions do not exist, creating one condition may be the 90-day plan, and that is a legitimate, often optimal,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9: Barriers and Mitigation</w:t>
      </w:r>
    </w:p>
    <w:p>
      <w:pPr>
        <w:spacing w:after="100"/>
      </w:pPr>
      <w:r>
        <w:rPr>
          <w:b/>
          <w:bCs/>
        </w:rPr>
        <w:t xml:space="preserve">What it asks: </w:t>
      </w:r>
      <w:r>
        <w:t xml:space="preserve">What will get in the way, starting with your WS1 stuck point, and what you will do about each barrier. Tag each major barrier with the tension it lives inside.</w:t>
      </w:r>
    </w:p>
    <w:p>
      <w:pPr>
        <w:spacing w:after="100"/>
      </w:pPr>
      <w:r>
        <w:rPr>
          <w:b/>
          <w:bCs/>
        </w:rPr>
        <w:t xml:space="preserve">Prompts: </w:t>
      </w:r>
      <w:r>
        <w:t xml:space="preserve">Carry the stuck point forward: does this plan route around it, confront it, or shrink it? For each barrier: is the mitigation an action, a conversation, or a contingency? What does holding the tension, rather than pretending it away, look like in practice?</w:t>
      </w:r>
    </w:p>
    <w:p>
      <w:pPr>
        <w:spacing w:after="120"/>
      </w:pPr>
      <w:r>
        <w:t xml:space="preserve">Track A: barriers worth checking explicitly: inconsistent course-level AI policies sending mixed messages; advising and career staff capacity; data privacy concerns about student-facing tools; the gap between tool deployment and student trust.</w:t>
      </w:r>
    </w:p>
    <w:p>
      <w:pPr>
        <w:spacing w:after="100"/>
      </w:pPr>
      <w:r>
        <w:rPr>
          <w:b/>
          <w:bCs/>
        </w:rPr>
        <w:t xml:space="preserve">Quality bar: </w:t>
      </w:r>
      <w:r>
        <w:t xml:space="preserve">Mechanisms, not moods. Some barriers are managed, not solved; the named tension keeps mitigation honest.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10: Riskiest Assumptions</w:t>
      </w:r>
    </w:p>
    <w:p>
      <w:pPr>
        <w:spacing w:after="100"/>
      </w:pPr>
      <w:r>
        <w:rPr>
          <w:b/>
          <w:bCs/>
        </w:rPr>
        <w:t xml:space="preserve">What it asks: </w:t>
      </w:r>
      <w:r>
        <w:t xml:space="preserve">The two or three things this plan assumes that, if wrong, sink it, and how you will find out fast. Your WS1 divergence is required input: where the two of you see the institution differently is usually where the plan's biggest unknown lives.</w:t>
      </w:r>
    </w:p>
    <w:p>
      <w:pPr>
        <w:spacing w:after="100"/>
      </w:pPr>
      <w:r>
        <w:rPr>
          <w:b/>
          <w:bCs/>
        </w:rPr>
        <w:t xml:space="preserve">Prompts: </w:t>
      </w:r>
      <w:r>
        <w:t xml:space="preserve">What does this plan assume about people's willingness, capability, or time? About technology behaving as demonstrated? Which assumption can we test in the first two weeks instead of discovering at day 80?</w:t>
      </w:r>
    </w:p>
    <w:p>
      <w:pPr>
        <w:spacing w:after="100"/>
      </w:pPr>
      <w:r>
        <w:rPr>
          <w:b/>
          <w:bCs/>
        </w:rPr>
        <w:t xml:space="preserve">Quality bar: </w:t>
      </w:r>
      <w:r>
        <w:t xml:space="preserve">Falsifiable and scheduled. Each assumption pairs with the earliest, cheapest test. The plan is allowed to be wrong, and designed to learn it quickly.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11: 90-Day Cadence and Week 1 Actions</w:t>
      </w:r>
    </w:p>
    <w:p>
      <w:pPr>
        <w:spacing w:after="100"/>
      </w:pPr>
      <w:r>
        <w:rPr>
          <w:b/>
          <w:bCs/>
        </w:rPr>
        <w:t xml:space="preserve">What it asks: </w:t>
      </w:r>
      <w:r>
        <w:t xml:space="preserve">Week 1 actions (specific, owned, dated), then 30/60/90-day milestones.</w:t>
      </w:r>
    </w:p>
    <w:p>
      <w:pPr>
        <w:spacing w:after="100"/>
      </w:pPr>
      <w:r>
        <w:rPr>
          <w:b/>
          <w:bCs/>
        </w:rPr>
        <w:t xml:space="preserve">Prompts: </w:t>
      </w:r>
      <w:r>
        <w:t xml:space="preserve">What happens in the first five business days after you land home, while momentum is highest? Who in this pair owns each action? Milestones are states (pilot cohort recruited), not efforts (continue recruiting).</w:t>
      </w:r>
    </w:p>
    <w:p>
      <w:pPr>
        <w:spacing w:after="100"/>
      </w:pPr>
      <w:r>
        <w:rPr>
          <w:b/>
          <w:bCs/>
        </w:rPr>
        <w:t xml:space="preserve">Quality bar: </w:t>
      </w:r>
      <w:r>
        <w:t xml:space="preserve">Week 1 actions are calendar-ready: a named owner from this pair, a date, and a completion test (the email is sent, the meeting is held, the inventory exists).</w:t>
      </w:r>
    </w:p>
    <w:p>
      <w:pPr>
        <w:spacing w:after="60"/>
      </w:pPr>
      <w:r>
        <w:rPr>
          <w:b/>
          <w:bCs/>
        </w:rPr>
        <w:t xml:space="preserve">Week 1 actions: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20"/>
        <w:gridCol w:w="2100"/>
        <w:gridCol w:w="1500"/>
        <w:gridCol w:w="1500"/>
      </w:tblGrid>
      <w:tr>
        <w:tc>
          <w:tcPr>
            <w:tcW w:type="dxa" w:w="46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Action</w:t>
            </w:r>
          </w:p>
        </w:tc>
        <w:tc>
          <w:tcPr>
            <w:tcW w:type="dxa" w:w="21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Owner (from this pair)</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Date</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Done when</w:t>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bl>
    <w:p>
      <w:pPr>
        <w:spacing w:after="80"/>
      </w:pPr>
      <w:r>
        <w:t xml:space="preserve"/>
      </w:r>
    </w:p>
    <w:p>
      <w:pPr>
        <w:spacing w:after="60"/>
      </w:pPr>
      <w:r>
        <w:rPr>
          <w:b/>
          <w:bCs/>
        </w:rPr>
        <w:t xml:space="preserve">Milestones (states, not efforts):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500"/>
        <w:gridCol w:w="8220"/>
      </w:tblGrid>
      <w:tr>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Day</w:t>
            </w:r>
          </w:p>
        </w:tc>
        <w:tc>
          <w:tcPr>
            <w:tcW w:type="dxa" w:w="82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What is true that is not true today</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30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60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90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80"/>
      </w:pPr>
      <w:r>
        <w:t xml:space="preserve"/>
      </w:r>
    </w:p>
    <w:p>
      <w:pPr>
        <w:pStyle w:val="Heading1"/>
        <w:pageBreakBefore/>
      </w:pPr>
      <w:r>
        <w:t xml:space="preserve">Block 12: The Commitment</w:t>
      </w:r>
    </w:p>
    <w:p>
      <w:pPr>
        <w:spacing w:after="100"/>
      </w:pPr>
      <w:r>
        <w:rPr>
          <w:b/>
          <w:bCs/>
        </w:rPr>
        <w:t xml:space="preserve">What it asks: </w:t>
      </w:r>
      <w:r>
        <w:t xml:space="preserve">The public sentence you present to the AI Convergence community at the closing session, and report against in your Transformational Leadership Circle.</w:t>
      </w:r>
    </w:p>
    <w:p>
      <w:pPr>
        <w:spacing w:after="100"/>
      </w:pPr>
      <w:r>
        <w:rPr>
          <w:b/>
          <w:bCs/>
        </w:rPr>
        <w:t xml:space="preserve">Compose from the canvas: </w:t>
      </w:r>
      <w:r>
        <w:t xml:space="preserve">In the next 90 days, [institution] will [approach] so that [people served] experience [change], and we will know because [evidence]. Our first step, on [date], is [Week 1 action].</w:t>
      </w:r>
    </w:p>
    <w:p>
      <w:pPr>
        <w:spacing w:after="100"/>
      </w:pPr>
      <w:r>
        <w:rPr>
          <w:b/>
          <w:bCs/>
        </w:rPr>
        <w:t xml:space="preserve">Quality bar: </w:t>
      </w:r>
      <w:r>
        <w:t xml:space="preserve">Speakable in under 30 seconds, specific enough that a peer could ask did it happen at day 90 and get a yes-or-no answer. It should be slightly uncomfortable to say aloud; that discomfort is the design working. Cut every explore, begin to, and work toward.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120"/>
      </w:pPr>
      <w:r>
        <w:rPr>
          <w:i/>
          <w:iCs/>
        </w:rPr>
        <w:t xml:space="preserve">Rehearse before 11:00: say it aloud to each other or to a neighboring pair, from memory. At the closing session you may add at most one sentence of context.</w:t>
      </w:r>
    </w:p>
    <w:p>
      <w:pPr>
        <w:pStyle w:val="Heading1"/>
        <w:pageBreakBefore/>
      </w:pPr>
      <w:r>
        <w:t xml:space="preserve">The Complete Canvas (Final Artifact)</w:t>
      </w:r>
    </w:p>
    <w:p>
      <w:pPr>
        <w:spacing w:after="120"/>
      </w:pPr>
      <w:r>
        <w:t xml:space="preserve">Transfer your final text here, two to four lines per block, left column then right. This page is your one-page plan: the version you defend to your cabinet, revisit at your day-30 and day-60 Circle check-ins, and answer at day 90. If it does not fit on this page, the plan is not yet a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 Starting Point</w:t>
            </w:r>
          </w:p>
          <w:p>
            <w:pPr>
              <w:spacing w:after="0"/>
            </w:pPr>
            <w:r>
              <w:rPr>
                <w:i/>
                <w:iCs/>
                <w:color w:val="888888"/>
                <w:sz w:val="16"/>
                <w:szCs w:val="16"/>
              </w:rPr>
              <w:t xml:space="preserve">Where we are, honestly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7. Coalition</w:t>
            </w:r>
          </w:p>
          <w:p>
            <w:pPr>
              <w:spacing w:after="0"/>
            </w:pPr>
            <w:r>
              <w:rPr>
                <w:i/>
                <w:iCs/>
                <w:color w:val="888888"/>
                <w:sz w:val="16"/>
                <w:szCs w:val="16"/>
              </w:rPr>
              <w:t xml:space="preserve">Names and dates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2. The Frontier</w:t>
            </w:r>
          </w:p>
          <w:p>
            <w:pPr>
              <w:spacing w:after="0"/>
            </w:pPr>
            <w:r>
              <w:rPr>
                <w:i/>
                <w:iCs/>
                <w:color w:val="888888"/>
                <w:sz w:val="16"/>
                <w:szCs w:val="16"/>
              </w:rPr>
              <w:t xml:space="preserve">One frontier, bounded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8. Resources and Capacity</w:t>
            </w:r>
          </w:p>
          <w:p>
            <w:pPr>
              <w:spacing w:after="0"/>
            </w:pPr>
            <w:r>
              <w:rPr>
                <w:i/>
                <w:iCs/>
                <w:color w:val="888888"/>
                <w:sz w:val="16"/>
                <w:szCs w:val="16"/>
              </w:rPr>
              <w:t xml:space="preserve">Sourced, not listed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3. The Problem</w:t>
            </w:r>
          </w:p>
          <w:p>
            <w:pPr>
              <w:spacing w:after="0"/>
            </w:pPr>
            <w:r>
              <w:rPr>
                <w:i/>
                <w:iCs/>
                <w:color w:val="888888"/>
                <w:sz w:val="16"/>
                <w:szCs w:val="16"/>
              </w:rPr>
              <w:t xml:space="preserve">Who hurts, how we know</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9. Barriers and Mitigation</w:t>
            </w:r>
          </w:p>
          <w:p>
            <w:pPr>
              <w:spacing w:after="0"/>
            </w:pPr>
            <w:r>
              <w:rPr>
                <w:i/>
                <w:iCs/>
                <w:color w:val="888888"/>
                <w:sz w:val="16"/>
                <w:szCs w:val="16"/>
              </w:rPr>
              <w:t xml:space="preserve">Mechanisms, with tensions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4. The Change We Seek</w:t>
            </w:r>
          </w:p>
          <w:p>
            <w:pPr>
              <w:spacing w:after="0"/>
            </w:pPr>
            <w:r>
              <w:rPr>
                <w:i/>
                <w:iCs/>
                <w:color w:val="888888"/>
                <w:sz w:val="16"/>
                <w:szCs w:val="16"/>
              </w:rPr>
              <w:t xml:space="preserve">Observable, mission-anchored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10. Riskiest Assumptions</w:t>
            </w:r>
          </w:p>
          <w:p>
            <w:pPr>
              <w:spacing w:after="0"/>
            </w:pPr>
            <w:r>
              <w:rPr>
                <w:i/>
                <w:iCs/>
                <w:color w:val="888888"/>
                <w:sz w:val="16"/>
                <w:szCs w:val="16"/>
              </w:rPr>
              <w:t xml:space="preserve">Falsifiable, tested early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5. The Approach</w:t>
            </w:r>
          </w:p>
          <w:p>
            <w:pPr>
              <w:spacing w:after="0"/>
            </w:pPr>
            <w:r>
              <w:rPr>
                <w:i/>
                <w:iCs/>
                <w:color w:val="888888"/>
                <w:sz w:val="16"/>
                <w:szCs w:val="16"/>
              </w:rPr>
              <w:t xml:space="preserve">Smallest credible; human and AI roles; not-doing list</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11. 90-Day Cadence and Week 1</w:t>
            </w:r>
          </w:p>
          <w:p>
            <w:pPr>
              <w:spacing w:after="0"/>
            </w:pPr>
            <w:r>
              <w:rPr>
                <w:i/>
                <w:iCs/>
                <w:color w:val="888888"/>
                <w:sz w:val="16"/>
                <w:szCs w:val="16"/>
              </w:rPr>
              <w:t xml:space="preserve">Owners, dates, milestones as states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6. Evidence of Progress</w:t>
            </w:r>
          </w:p>
          <w:p>
            <w:pPr>
              <w:spacing w:after="0"/>
            </w:pPr>
            <w:r>
              <w:rPr>
                <w:i/>
                <w:iCs/>
                <w:color w:val="888888"/>
                <w:sz w:val="16"/>
                <w:szCs w:val="16"/>
              </w:rPr>
              <w:t xml:space="preserve">Outcomes, one disconfirming</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12. The Commitment</w:t>
            </w:r>
          </w:p>
          <w:p>
            <w:pPr>
              <w:spacing w:after="0"/>
            </w:pPr>
            <w:r>
              <w:rPr>
                <w:i/>
                <w:iCs/>
                <w:color w:val="888888"/>
                <w:sz w:val="16"/>
                <w:szCs w:val="16"/>
              </w:rPr>
              <w:t xml:space="preserve">Under 30 seconds, yes-or-no at day 90</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bl>
    <w:p>
      <w:pPr>
        <w:spacing w:after="80"/>
      </w:pPr>
      <w:r>
        <w:t xml:space="preserve"/>
      </w:r>
    </w:p>
    <w:p>
      <w:pPr>
        <w:spacing w:after="120"/>
      </w:pPr>
      <w:r>
        <w:rPr>
          <w:i/>
          <w:iCs/>
        </w:rPr>
        <w:t xml:space="preserve">After the convening: your Circle revisits Blocks 6, 9, and 10 at day 30 and day 60; revisions there are evidence of learning, not failure. At day 90 the commitment gets answered: did it happen, what did the evidence show, what was learned. Then Block 1 is rewritten with your new honest sentence, and that sentence seeds your next 90-day cycle.</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90-Day Action Plan Finalization | Track A Canvas, Right Half</w:t>
    </w:r>
    <w:r>
      <w:rPr>
        <w:color w:val="666666"/>
        <w:sz w:val="16"/>
        <w:szCs w:val="16"/>
      </w:rPr>
      <w:t xml:space="preserve">	Tue, June 23 | 10:00 to 11:00 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2026-06-11T23:58:42.386Z</dcterms:created>
  <dcterms:modified xsi:type="dcterms:W3CDTF">2026-06-11T23:58:42.386Z</dcterms:modified>
</cp:coreProperties>
</file>

<file path=docProps/custom.xml><?xml version="1.0" encoding="utf-8"?>
<Properties xmlns="http://schemas.openxmlformats.org/officeDocument/2006/custom-properties" xmlns:vt="http://schemas.openxmlformats.org/officeDocument/2006/docPropsVTypes"/>
</file>