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00"/>
      </w:pPr>
      <w:r>
        <w:rPr>
          <w:b/>
          <w:bCs/>
          <w:color w:val="0E7490"/>
          <w:sz w:val="26"/>
          <w:szCs w:val="26"/>
        </w:rPr>
        <w:t xml:space="preserve">AI CONVERGENCE</w:t>
      </w:r>
    </w:p>
    <w:p>
      <w:pPr>
        <w:spacing w:after="60"/>
      </w:pPr>
      <w:r>
        <w:rPr>
          <w:b/>
          <w:bCs/>
          <w:color w:val="1B3A5C"/>
          <w:sz w:val="36"/>
          <w:szCs w:val="36"/>
        </w:rPr>
        <w:t xml:space="preserve">Working Session 1: AI Readiness Diagnostic</w:t>
      </w:r>
    </w:p>
    <w:p>
      <w:pPr>
        <w:spacing w:after="40"/>
      </w:pPr>
      <w:r>
        <w:rPr>
          <w:b/>
          <w:bCs/>
          <w:color w:val="0E7490"/>
          <w:sz w:val="26"/>
          <w:szCs w:val="26"/>
        </w:rPr>
        <w:t xml:space="preserve">Participant Workbook</w:t>
      </w:r>
    </w:p>
    <w:p>
      <w:pPr>
        <w:pBdr>
          <w:bottom w:val="single" w:color="0E7490" w:sz="6" w:space="8"/>
        </w:pBdr>
        <w:spacing w:after="200"/>
      </w:pPr>
      <w:r>
        <w:rPr>
          <w:b/>
          <w:bCs/>
          <w:sz w:val="24"/>
          <w:szCs w:val="24"/>
        </w:rPr>
        <w:t xml:space="preserve">Track A: AI for Student Experience and Career Readiness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Session</w:t>
            </w:r>
          </w:p>
        </w:tc>
        <w:tc>
          <w:tcPr>
            <w:tcW w:type="dxa" w:w="7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When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Monday, June 22, 10:45 AM to 12:00 PM</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Facilitators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Alex Sevilla, Sharon Lydon</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Your names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Institution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Your roles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
            </w:r>
          </w:p>
        </w:tc>
      </w:tr>
    </w:tbl>
    <w:p>
      <w:pPr>
        <w:spacing w:after="120"/>
      </w:pPr>
      <w:r>
        <w:t xml:space="preserve"/>
      </w:r>
    </w:p>
    <w:p>
      <w:pPr>
        <w:pStyle w:val="Heading2"/>
      </w:pPr>
      <w:r>
        <w:t xml:space="preserve">Why This Session Exists</w:t>
      </w:r>
    </w:p>
    <w:p>
      <w:pPr>
        <w:spacing w:after="120"/>
      </w:pPr>
      <w:r>
        <w:t xml:space="preserve">AI Convergence exists to strengthen institutions, not judge them. This diagnostic helps the two of you see clearly where your institution is, name where you are stuck, and choose the frontier you are ready to act on. There is no passing score, no benchmark, and no comparison with the institution at the next table; the focus is your next frontier.</w:t>
      </w:r>
    </w:p>
    <w:p>
      <w:pPr>
        <w:spacing w:after="120"/>
      </w:pPr>
      <w:r>
        <w:t xml:space="preserve">This session looks at your institution from the student's seat: not what the institution announces about AI, but what a student actually experiences in class, in advising, in career preparation, and in the messages they receive about what is allowed.</w:t>
      </w:r>
    </w:p>
    <w:p>
      <w:pPr>
        <w:pStyle w:val="Heading2"/>
      </w:pPr>
      <w:r>
        <w:t xml:space="preserve">Three Rules for the Room</w:t>
      </w:r>
    </w:p>
    <w:p>
      <w:pPr>
        <w:pStyle w:val="ListParagraph"/>
        <w:numPr>
          <w:ilvl w:val="0"/>
          <w:numId w:val="2"/>
        </w:numPr>
        <w:spacing w:after="80"/>
      </w:pPr>
      <w:r>
        <w:rPr>
          <w:b/>
          <w:bCs/>
        </w:rPr>
        <w:t xml:space="preserve">Rate in pencil. Talk in ink.</w:t>
      </w:r>
      <w:r>
        <w:t xml:space="preserve"> Ratings are conversation starters. The dialogue is the diagnostic.</w:t>
      </w:r>
    </w:p>
    <w:p>
      <w:pPr>
        <w:pStyle w:val="ListParagraph"/>
        <w:numPr>
          <w:ilvl w:val="0"/>
          <w:numId w:val="2"/>
        </w:numPr>
        <w:spacing w:after="80"/>
      </w:pPr>
      <w:r>
        <w:rPr>
          <w:b/>
          <w:bCs/>
        </w:rPr>
        <w:t xml:space="preserve">Divergence is data.</w:t>
      </w:r>
      <w:r>
        <w:t xml:space="preserve"> When the two of you rate a dimension differently, that gap is among the most important findings of the session. Do not average it away. Explore it.</w:t>
      </w:r>
    </w:p>
    <w:p>
      <w:pPr>
        <w:pStyle w:val="ListParagraph"/>
        <w:numPr>
          <w:ilvl w:val="0"/>
          <w:numId w:val="2"/>
        </w:numPr>
        <w:spacing w:after="80"/>
      </w:pPr>
      <w:r>
        <w:rPr>
          <w:b/>
          <w:bCs/>
        </w:rPr>
        <w:t xml:space="preserve">No totals.</w:t>
      </w:r>
      <w:r>
        <w:t xml:space="preserve"> Do not sum your scores. The shape of your profile matters; the number does not.</w:t>
      </w:r>
    </w:p>
    <w:p>
      <w:pPr>
        <w:pStyle w:val="Heading2"/>
      </w:pPr>
      <w:r>
        <w:t xml:space="preserve">Where This Work Goes</w:t>
      </w:r>
    </w:p>
    <w:p>
      <w:pPr>
        <w:spacing w:after="120"/>
      </w:pPr>
      <w:r>
        <w:t xml:space="preserve">Everything you write here travels with you. Your community question goes to the 3:15 case studies. Your full synthesis opens Working Session 2 at 4:15, which is only 45 minutes and starts from these pages, not from a blank canvas. On Tuesday, your stuck point seeds your plan's barriers and your divergence seeds its riskiest assumptions. Keep this workbook with you.</w:t>
      </w:r>
    </w:p>
    <w:p>
      <w:pPr>
        <w:pStyle w:val="Heading1"/>
        <w:pageBreakBefore/>
      </w:pPr>
      <w:r>
        <w:t xml:space="preserve">The Rating Scale</w:t>
      </w:r>
    </w:p>
    <w:p>
      <w:pPr>
        <w:spacing w:after="120"/>
      </w:pPr>
      <w:r>
        <w:t xml:space="preserve">Four levels, mapped to the AI Convergence Standards vocabulary. When you rate a dimension at 3, you can also say we are Growing here; the two statements mean the same thing.</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00"/>
        <w:gridCol w:w="2300"/>
        <w:gridCol w:w="2200"/>
        <w:gridCol w:w="4320"/>
      </w:tblGrid>
      <w:tr>
        <w:tc>
          <w:tcPr>
            <w:tcW w:type="dxa" w:w="9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Level</w:t>
            </w:r>
          </w:p>
        </w:tc>
        <w:tc>
          <w:tcPr>
            <w:tcW w:type="dxa" w:w="23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Label</w:t>
            </w:r>
          </w:p>
        </w:tc>
        <w:tc>
          <w:tcPr>
            <w:tcW w:type="dxa" w:w="2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Standards Level</w:t>
            </w:r>
          </w:p>
        </w:tc>
        <w:tc>
          <w:tcPr>
            <w:tcW w:type="dxa" w:w="4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What it looks like in practice</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1</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Not yet addressed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(precedes Emerging)</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No meaningful activity. The topic may be discussed but nothing has been decided, resourced, or attempted.</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2</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Emerging / fragmented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Emerging</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Real activity exists, but in pockets. Individual champions, isolated pilots, units moving in different directions. Energy without coordination. A policy may exist on paper that no one follows.</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3</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Developing / coordinated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Growing</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Deliberate, connected effort. Units are aligned around shared direction, resources are committed, and early results are visible. Still dependent on specific people and not yet durable.</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4</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Strong / scalable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Established</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Capability is embedded in culture, operations, and resource allocation. It survives leadership turnover, reaches most of the relevant population, and improves through feedback.</w:t>
            </w:r>
          </w:p>
        </w:tc>
      </w:tr>
    </w:tbl>
    <w:p>
      <w:pPr>
        <w:spacing w:after="80"/>
      </w:pPr>
      <w:r>
        <w:t xml:space="preserve"/>
      </w:r>
    </w:p>
    <w:p>
      <w:pPr>
        <w:spacing w:after="120"/>
      </w:pPr>
      <w:r>
        <w:rPr>
          <w:b/>
          <w:bCs/>
        </w:rPr>
        <w:t xml:space="preserve">Anchor honestly. A signed policy that no one follows is a 2, not a 3. A brilliant pilot serving 40 people is a 2, not a 4. Most institutions are unevenly distributed across these levels. That unevenness is normal and useful: it tells you where to act.</w:t>
      </w:r>
    </w:p>
    <w:p>
      <w:pPr>
        <w:spacing w:after="120"/>
      </w:pPr>
      <w:r>
        <w:t xml:space="preserve">How to use the instrument: first, each of you rates every statement silently and independently (about 10 minutes). Mark an X in the box. Then compare ratings in pair dialogue (about 30 minutes), starting where you diverged and where you rated lowest. Use the dialogue prompts as needed; you do not need to discuss every statement. The synthesis pages at the end are the deliverable.</w:t>
      </w:r>
    </w:p>
    <w:p>
      <w:pPr>
        <w:pStyle w:val="Heading1"/>
        <w:pageBreakBefore/>
      </w:pPr>
      <w:r>
        <w:t xml:space="preserve">Dimension 1: Strategic Clarity (Student Lens)</w:t>
      </w:r>
    </w:p>
    <w:p>
      <w:pPr>
        <w:spacing w:after="140"/>
      </w:pPr>
      <w:r>
        <w:rPr>
          <w:i/>
          <w:iCs/>
        </w:rPr>
        <w:t xml:space="preserve">Is there a clear institutional purpose for AI, in terms students would recognize?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Our institution has articulated what AI should make better for students, in terms students would recognize (learning, belonging, advising, career outcomes), not only in terms of institutional efficiency.</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We have a position on student AI fluency as a graduate outcome: what every student should be able to do with AI, and demonstrate, by the time they leave.</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Equitable access is named in our AI direction: we have decided whether AI capability will be a universal entitlement or an opt-in privilege, and we know which students our current approach leaves out.</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If a student asked, what is this institution's plan for me and AI, what would they hear, and from whom? Where are students currently receiving mixed messages?</w:t>
      </w:r>
    </w:p>
    <w:p>
      <w:pPr>
        <w:pStyle w:val="ListParagraph"/>
        <w:numPr>
          <w:ilvl w:val="0"/>
          <w:numId w:val="2"/>
        </w:numPr>
        <w:spacing w:after="80"/>
      </w:pPr>
      <w:r>
        <w:t xml:space="preserve">Are we preparing students for AI-augmented careers, or protecting our current model from AI? Can we honestly say which?</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2: Human Capability (Student Lens)</w:t>
      </w:r>
    </w:p>
    <w:p>
      <w:pPr>
        <w:spacing w:after="140"/>
      </w:pPr>
      <w:r>
        <w:rPr>
          <w:i/>
          <w:iCs/>
        </w:rPr>
        <w:t xml:space="preserve">Do students, and the people who support them, have the fluency and confidence to use AI responsibly?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Students have structured, credit-bearing or co-curricular opportunities to build AI fluency, beyond whatever individual instructors happen to allow or model.</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Advisors, career services staff, and student affairs professionals have been developed to use AI in their own work and to guide students' use.</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Student AI capability is distributed equitably: first-generation, under-resourced, and non-traditional students have the same access to fluency-building as everyone else.</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Which students at our institution are becoming genuinely AI-fluent right now, and which are not? What separates the two groups?</w:t>
      </w:r>
    </w:p>
    <w:p>
      <w:pPr>
        <w:pStyle w:val="ListParagraph"/>
        <w:numPr>
          <w:ilvl w:val="0"/>
          <w:numId w:val="2"/>
        </w:numPr>
        <w:spacing w:after="80"/>
      </w:pPr>
      <w:r>
        <w:t xml:space="preserve">Do our students develop judgment about AI (when, whether, how) or only access to tools?</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3: Use-Case Maturity (Student Lens)</w:t>
      </w:r>
    </w:p>
    <w:p>
      <w:pPr>
        <w:spacing w:after="140"/>
      </w:pPr>
      <w:r>
        <w:rPr>
          <w:i/>
          <w:iCs/>
        </w:rPr>
        <w:t xml:space="preserve">Are there meaningful student-facing AI use cases connected to priority outcomes?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We have at least one AI-supported use case in advising, learning support, or career readiness that is connected to a measured student outcome (retention, progression, placement, engagement).</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Our assessment practices are adapting to AI in ways designed around learning, not only around misconduct prevention.</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Career readiness offerings explicitly address what AI-augmented workplaces require, informed by actual employer input rather than assumption.</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Which student-facing AI use case, if it worked, would students actually notice and value? Are we working on that one, or on something easier?</w:t>
      </w:r>
    </w:p>
    <w:p>
      <w:pPr>
        <w:pStyle w:val="ListParagraph"/>
        <w:numPr>
          <w:ilvl w:val="0"/>
          <w:numId w:val="2"/>
        </w:numPr>
        <w:spacing w:after="80"/>
      </w:pPr>
      <w:r>
        <w:t xml:space="preserve">The employer trust gap: what do we know, not believe, about how employers view our graduates? Could our students show documented evidence of applying AI effectively in authentic contexts?</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4: Governance and Risk (Student Lens)</w:t>
      </w:r>
    </w:p>
    <w:p>
      <w:pPr>
        <w:spacing w:after="140"/>
      </w:pPr>
      <w:r>
        <w:rPr>
          <w:i/>
          <w:iCs/>
        </w:rPr>
        <w:t xml:space="preserve">Are policies and data practices clear enough to enable learning, not only to police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Policies on student AI use are clear, consistent across courses, and framed to enable learning, not only to police integrity.</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Student data used in AI tools (advising platforms, early alerts, chatbots) is governed by clear consent, privacy, and transparency practices that students could actually find and understand.</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There is a defined path for resolving conflicts between innovation in the student experience and risk concerns, and students have a voice in it.</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Could a student at our institution describe what they are and are not allowed to do with AI? Would the answer change from one course to the next, and is that variation principled or chaotic?</w:t>
      </w:r>
    </w:p>
    <w:p>
      <w:pPr>
        <w:pStyle w:val="ListParagraph"/>
        <w:numPr>
          <w:ilvl w:val="0"/>
          <w:numId w:val="2"/>
        </w:numPr>
        <w:spacing w:after="80"/>
      </w:pPr>
      <w:r>
        <w:t xml:space="preserve">Where might our AI tools be making consequential judgments about students (risk flags, advising nudges) without students knowing?</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5: Implementation Capacity (Student Lens)</w:t>
      </w:r>
    </w:p>
    <w:p>
      <w:pPr>
        <w:spacing w:after="140"/>
      </w:pPr>
      <w:r>
        <w:rPr>
          <w:i/>
          <w:iCs/>
        </w:rPr>
        <w:t xml:space="preserve">Can the units closest to students actually implement and sustain AI-enhanced practice?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The units closest to students (advising, career services, learning support, student affairs) have the staffing, tools, and budget to implement AI-enhanced practice, not just attend webinars about it.</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Someone owns the student AI experience across silos: a person or body is accountable for coherence across academic, advising, and career touchpoints.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We can sustain student-facing AI initiatives past the pilot phase: at least one has moved, or is credibly moving, from pilot to standard practice.</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If we wanted every first-year student to have a meaningful AI fluency experience by next fall, what would break first: people, tools, money, or coordination?</w:t>
      </w:r>
    </w:p>
    <w:p>
      <w:pPr>
        <w:pStyle w:val="ListParagraph"/>
        <w:numPr>
          <w:ilvl w:val="0"/>
          <w:numId w:val="2"/>
        </w:numPr>
        <w:spacing w:after="80"/>
      </w:pPr>
      <w:r>
        <w:t xml:space="preserve">Belonging check: do our AI initiatives make students feel more known and supported, or more processed? How would we find out?</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Synthesis: From Diagnosis to Action</w:t>
      </w:r>
    </w:p>
    <w:p>
      <w:pPr>
        <w:spacing w:after="120"/>
      </w:pPr>
      <w:r>
        <w:t xml:space="preserve">Complete every step as a pair (about 15 minutes). This synthesis travels with you to Working Session 2 at 4:15 and anchors the 90-day plan you finalize Tuesday. Because that session is short, an incomplete synthesis costs you design time this afternoon.</w:t>
      </w:r>
    </w:p>
    <w:p>
      <w:pPr>
        <w:pStyle w:val="Heading2"/>
      </w:pPr>
      <w:r>
        <w:t xml:space="preserve">Step 1: Draw Your Profile</w:t>
      </w:r>
    </w:p>
    <w:p>
      <w:pPr>
        <w:spacing w:after="120"/>
      </w:pPr>
      <w:r>
        <w:t xml:space="preserve">Mark your pair's agreed rating for each dimension. Where you could not agree, mark both and circle the gap. Look at the shape, not the sum.</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600"/>
        <w:gridCol w:w="1280"/>
        <w:gridCol w:w="1280"/>
        <w:gridCol w:w="1280"/>
        <w:gridCol w:w="1280"/>
      </w:tblGrid>
      <w:tr>
        <w:tc>
          <w:tcPr>
            <w:tcW w:type="dxa" w:w="4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Dimension</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Strategic Clarity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Human Capability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Use-Case Maturity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Governance and Risk</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Implementation Capacity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bl>
    <w:p>
      <w:pPr>
        <w:spacing w:after="80"/>
      </w:pPr>
      <w:r>
        <w:t xml:space="preserve"/>
      </w:r>
    </w:p>
    <w:p>
      <w:pPr>
        <w:spacing w:after="120"/>
      </w:pPr>
      <w:r>
        <w:rPr>
          <w:i/>
          <w:iCs/>
        </w:rPr>
        <w:t xml:space="preserve">Common shapes and what they suggest: high clarity with low capacity points to resourcing, not more strategy. High activity with low clarity points to pilots in search of a purpose. High capability with low governance points to talented people improvising in a vacuum. Everything at 2 points to picking one dimension and one use case and going deep.</w:t>
      </w:r>
    </w:p>
    <w:p>
      <w:pPr>
        <w:pStyle w:val="Heading2"/>
      </w:pPr>
      <w:r>
        <w:t xml:space="preserve">Step 2: Name Three Things</w:t>
      </w:r>
    </w:p>
    <w:p>
      <w:pPr>
        <w:spacing w:after="120"/>
      </w:pPr>
      <w:r>
        <w:rPr>
          <w:b w:val="false"/>
          <w:bCs w:val="false"/>
        </w:rPr>
        <w:t xml:space="preserve">Where we are. One honest sentence describing our institution's current AI reality. Write the sentence you would say to a trusted peer, not the one you would put in a press release. The room is built for the honest version.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t xml:space="preserve"/>
      </w:r>
    </w:p>
    <w:p>
      <w:pPr>
        <w:spacing w:after="120"/>
      </w:pPr>
      <w:r>
        <w:t xml:space="preserve">Where we are stuck. The one friction point where we are spending effort without movement. Be specific about the mechanism: a decision no one will make, a resource no one will commit, a conflict no one will surface, or a capability no one has.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t xml:space="preserve"/>
      </w:r>
    </w:p>
    <w:p>
      <w:pPr>
        <w:spacing w:after="120"/>
      </w:pPr>
      <w:r>
        <w:t xml:space="preserve">Which tension our stuck point lives inside (mark one). Being stuck inside a real tension is a normal condition of leadership, not a deficiency.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560"/>
        <w:gridCol w:w="9160"/>
      </w:tblGrid>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Experimentation vs. Accountability</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Human-Centered vs. Efficiency Pressure</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Technology vs. Transformation</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Mission-Driven vs. Peer Pressure</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External Urgency vs. Internal Resistance</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Honesty vs. Self-Protection</w:t>
            </w:r>
            <w:r>
              <w:rPr>
                <w:sz w:val="20"/>
                <w:szCs w:val="20"/>
              </w:rPr>
              <w:t xml:space="preserve"/>
            </w:r>
          </w:p>
        </w:tc>
      </w:tr>
    </w:tbl>
    <w:p>
      <w:pPr>
        <w:spacing w:after="60"/>
      </w:pPr>
      <w:r>
        <w:t xml:space="preserve"/>
      </w:r>
    </w:p>
    <w:p>
      <w:pPr>
        <w:spacing w:after="120"/>
      </w:pPr>
      <w:r>
        <w:t xml:space="preserve">Where we are ready to act. The dimension, and ideally the specific opportunity, where will, conditions, and authority align in the next 90 days. Readiness means: we have or can get the authority, the effort fits our capacity, and someone in this pair will own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2"/>
      </w:pPr>
      <w:r>
        <w:t xml:space="preserve">Step 3: Surface the Divergence</w:t>
      </w:r>
    </w:p>
    <w:p>
      <w:pPr>
        <w:spacing w:after="120"/>
      </w:pPr>
      <w:r>
        <w:t xml:space="preserve">The dimension where the two of you rated furthest apart, and one sentence on what each of you sees that the other might not. This disagreement is an asset: it usually marks the place where the institution's formal story and lived reality differ. If you prefer, discuss it aloud instead of writing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2"/>
      </w:pPr>
      <w:r>
        <w:t xml:space="preserve">Step 4: One Question for the Community</w:t>
      </w:r>
    </w:p>
    <w:p>
      <w:pPr>
        <w:spacing w:after="120"/>
      </w:pPr>
      <w:r>
        <w:t xml:space="preserve">One question your pair wants to ask other institutions in this room. The 3:15 Implementation Case Studies session and the peer tables are your chance to ask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2"/>
      </w:pPr>
      <w:r>
        <w:t xml:space="preserve">Step 5: Track A Handoff to Strategy Design</w:t>
      </w:r>
    </w:p>
    <w:p>
      <w:pPr>
        <w:spacing w:after="120"/>
      </w:pPr>
      <w:r>
        <w:t xml:space="preserve">This is what your 4:15 session starts from. State your candidate opportunity and the student problem it addresses.</w:t>
      </w:r>
    </w:p>
    <w:p>
      <w:pPr>
        <w:spacing w:after="60"/>
      </w:pPr>
      <w:r>
        <w:rPr>
          <w:b/>
          <w:bCs/>
        </w:rPr>
        <w:t xml:space="preserve">Our candidate opportunity (the student-facing move we are most ready to make):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t xml:space="preserve"/>
      </w:r>
    </w:p>
    <w:p>
      <w:pPr>
        <w:spacing w:after="60"/>
      </w:pPr>
      <w:r>
        <w:rPr>
          <w:b/>
          <w:bCs/>
        </w:rPr>
        <w:t xml:space="preserve">The student problem it addresses, in one sentence (which students, at which moment in their journey):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t xml:space="preserve"/>
      </w:r>
    </w:p>
    <w:p>
      <w:pPr>
        <w:pStyle w:val="Heading2"/>
      </w:pPr>
      <w:r>
        <w:t xml:space="preserve">Before You Leave This Room</w:t>
      </w:r>
    </w:p>
    <w:p>
      <w:pPr>
        <w:spacing w:after="120"/>
      </w:pPr>
      <w:r>
        <w:t xml:space="preserve">Check that every step above is complete and legible. Four things matter most this afternoon: your honest sentence, your stuck point with its tension, your frontier, and your track handoff. Your ratings may shift after the demos, the industry panel, and the case studies; that shift is worth discussing tonight, and it is evidence of learning, not error.</w:t>
      </w:r>
    </w:p>
    <w:p>
      <w:pPr>
        <w:spacing w:after="40"/>
      </w:pPr>
      <w:r>
        <w:t xml:space="preserve"/>
      </w:r>
    </w:p>
    <w:p>
      <w:pPr>
        <w:spacing w:after="120"/>
      </w:pPr>
      <w:r>
        <w:rPr>
          <w:i/>
          <w:iCs/>
          <w:color w:val="666666"/>
          <w:sz w:val="18"/>
          <w:szCs w:val="18"/>
        </w:rPr>
        <w:t xml:space="preserve">Developmental, not evaluative. Not a compliance instrument. | AI Convergence Inaugural Convening | June 21 to 23, 2026 | Miami Herbert Business School</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Page </w:t>
    </w:r>
    <w:r>
      <w:rPr>
        <w:color w:val="666666"/>
        <w:sz w:val="16"/>
        <w:szCs w:val="16"/>
      </w:rPr>
      <w:fldChar w:fldCharType="begin"/>
      <w:instrText xml:space="preserve">PAGE</w:instrText>
      <w:fldChar w:fldCharType="separate"/>
      <w:fldChar w:fldCharType="end"/>
    </w:r>
    <w:r>
      <w:rPr>
        <w:color w:val="666666"/>
        <w:sz w:val="16"/>
        <w:szCs w:val="16"/>
      </w:rPr>
      <w:t xml:space="preserve"> of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666666"/>
        <w:sz w:val="16"/>
        <w:szCs w:val="16"/>
      </w:rPr>
      <w:t xml:space="preserve">AI Readiness Diagnostic | Track A Workbook</w:t>
    </w:r>
    <w:r>
      <w:rPr>
        <w:color w:val="666666"/>
        <w:sz w:val="16"/>
        <w:szCs w:val="16"/>
      </w:rPr>
      <w:t xml:space="preserve">	Mon, June 22 | 10:45 AM to 12:00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40"/>
      <w:outlineLvl w:val="0"/>
    </w:pPr>
    <w:rPr>
      <w:rFonts w:ascii="Arial" w:cs="Arial" w:eastAsia="Arial" w:hAnsi="Arial"/>
      <w:b/>
      <w:bCs/>
      <w:color w:val="1B3A5C"/>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0E74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2026-06-11T23:34:40.922Z</dcterms:created>
  <dcterms:modified xsi:type="dcterms:W3CDTF">2026-06-11T23:34:40.923Z</dcterms:modified>
</cp:coreProperties>
</file>

<file path=docProps/custom.xml><?xml version="1.0" encoding="utf-8"?>
<Properties xmlns="http://schemas.openxmlformats.org/officeDocument/2006/custom-properties" xmlns:vt="http://schemas.openxmlformats.org/officeDocument/2006/docPropsVTypes"/>
</file>